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7661CE9E"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bookmarkStart w:id="0" w:name="_GoBack"/>
      <w:bookmarkEnd w:id="0"/>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r>
        <w:rPr>
          <w:rFonts w:ascii="Arial" w:hAnsi="Arial" w:cs="Arial"/>
          <w:b/>
          <w:bCs/>
          <w:sz w:val="32"/>
          <w:szCs w:val="32"/>
          <w:lang w:val="en-US"/>
        </w:rPr>
        <w:t>R4-</w:t>
      </w:r>
      <w:r w:rsidR="00153940">
        <w:rPr>
          <w:rFonts w:ascii="Arial" w:hAnsi="Arial" w:cs="Arial"/>
          <w:b/>
          <w:bCs/>
          <w:sz w:val="32"/>
          <w:szCs w:val="32"/>
          <w:lang w:val="en-US"/>
        </w:rPr>
        <w:t>20</w:t>
      </w:r>
      <w:r w:rsidR="00E71FF9">
        <w:rPr>
          <w:rFonts w:ascii="Arial" w:hAnsi="Arial" w:cs="Arial"/>
          <w:b/>
          <w:bCs/>
          <w:sz w:val="32"/>
          <w:szCs w:val="32"/>
          <w:lang w:val="en-US"/>
        </w:rPr>
        <w:t>03110</w:t>
      </w:r>
    </w:p>
    <w:p w14:paraId="41FB8914" w14:textId="698E7AC9"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Pr>
          <w:rFonts w:ascii="Arial" w:hAnsi="Arial" w:cs="Arial"/>
          <w:b/>
          <w:bCs/>
          <w:sz w:val="24"/>
          <w:szCs w:val="24"/>
        </w:rPr>
        <w:t>0</w:t>
      </w:r>
      <w:r w:rsidR="00645388">
        <w:rPr>
          <w:rFonts w:ascii="Arial" w:hAnsi="Arial" w:cs="Arial"/>
          <w:b/>
          <w:bCs/>
          <w:sz w:val="24"/>
          <w:szCs w:val="24"/>
          <w:vertAlign w:val="superscript"/>
        </w:rPr>
        <w:t>th</w:t>
      </w:r>
      <w:r w:rsidR="00645388">
        <w:rPr>
          <w:rFonts w:ascii="Arial" w:hAnsi="Arial" w:cs="Arial"/>
          <w:b/>
          <w:bCs/>
          <w:sz w:val="24"/>
          <w:szCs w:val="24"/>
        </w:rPr>
        <w:t xml:space="preserve"> – </w:t>
      </w:r>
      <w:r w:rsidR="00E71FF9">
        <w:rPr>
          <w:rFonts w:ascii="Arial" w:hAnsi="Arial" w:cs="Arial"/>
          <w:b/>
          <w:bCs/>
          <w:sz w:val="24"/>
          <w:szCs w:val="24"/>
        </w:rPr>
        <w:t>30</w:t>
      </w:r>
      <w:r w:rsidR="00645388">
        <w:rPr>
          <w:rFonts w:ascii="Arial" w:hAnsi="Arial" w:cs="Arial"/>
          <w:b/>
          <w:bCs/>
          <w:sz w:val="24"/>
          <w:szCs w:val="24"/>
          <w:vertAlign w:val="superscript"/>
        </w:rPr>
        <w:t xml:space="preserve">th </w:t>
      </w:r>
      <w:r>
        <w:rPr>
          <w:rFonts w:ascii="Arial" w:hAnsi="Arial" w:cs="Arial"/>
          <w:b/>
          <w:bCs/>
          <w:sz w:val="24"/>
          <w:szCs w:val="24"/>
        </w:rPr>
        <w:t>April</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0EFFF4EB"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8F3D69" w:rsidRPr="008F3D69">
        <w:rPr>
          <w:rFonts w:ascii="Arial" w:hAnsi="Arial" w:cs="Arial"/>
          <w:sz w:val="24"/>
          <w:lang w:val="en-US" w:eastAsia="zh-CN"/>
        </w:rPr>
        <w:t xml:space="preserve">Considerations for </w:t>
      </w:r>
      <w:r w:rsidR="008F3D69">
        <w:rPr>
          <w:rFonts w:ascii="Arial" w:hAnsi="Arial" w:cs="Arial"/>
          <w:sz w:val="24"/>
          <w:lang w:val="en-US" w:eastAsia="zh-CN"/>
        </w:rPr>
        <w:t>LTE</w:t>
      </w:r>
      <w:r w:rsidR="008F3D69" w:rsidRPr="008F3D69">
        <w:rPr>
          <w:rFonts w:ascii="Arial" w:hAnsi="Arial" w:cs="Arial"/>
          <w:sz w:val="24"/>
          <w:lang w:val="en-US" w:eastAsia="zh-CN"/>
        </w:rPr>
        <w:t xml:space="preserve"> DAPS handover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3015D613"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E71FF9">
        <w:rPr>
          <w:rFonts w:ascii="Arial" w:hAnsi="Arial" w:cs="Arial"/>
          <w:sz w:val="24"/>
          <w:lang w:val="en-US" w:eastAsia="zh-CN"/>
        </w:rPr>
        <w:t>5.12.1.2</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376FD9DB" w:rsidR="00E948E9" w:rsidRDefault="005813AA" w:rsidP="002E5998">
      <w:pPr>
        <w:pStyle w:val="Heading1"/>
      </w:pPr>
      <w:r w:rsidRPr="00DA6BF8">
        <w:t>Introduction</w:t>
      </w:r>
    </w:p>
    <w:p w14:paraId="5A4EAF79" w14:textId="7F24133C" w:rsidR="00AD5C87" w:rsidRPr="00AD5C87" w:rsidRDefault="00A80B39" w:rsidP="00AD5C87">
      <w:pPr>
        <w:rPr>
          <w:u w:val="single"/>
          <w:lang w:val="en-US" w:eastAsia="zh-CN"/>
        </w:rPr>
      </w:pPr>
      <w:r>
        <w:t xml:space="preserve">In RAN4#94e, there was discussion about DAPS handover, with a way forward agreed in </w:t>
      </w:r>
      <w:r w:rsidR="00637B0C">
        <w:fldChar w:fldCharType="begin"/>
      </w:r>
      <w:r w:rsidR="00637B0C">
        <w:instrText xml:space="preserve"> REF _Ref34988837 \r \h </w:instrText>
      </w:r>
      <w:r w:rsidR="00637B0C">
        <w:fldChar w:fldCharType="separate"/>
      </w:r>
      <w:r w:rsidR="00637B0C">
        <w:t>[1]</w:t>
      </w:r>
      <w:r w:rsidR="00637B0C">
        <w:fldChar w:fldCharType="end"/>
      </w:r>
      <w:r w:rsidR="00637B0C">
        <w:t xml:space="preserve">. Some of the main </w:t>
      </w:r>
      <w:r w:rsidR="00AD5C87">
        <w:t xml:space="preserve">agreements and </w:t>
      </w:r>
      <w:r w:rsidR="00637B0C">
        <w:t xml:space="preserve">open issues to resolve are </w:t>
      </w:r>
      <w:r w:rsidR="00637B0C" w:rsidRPr="00153940">
        <w:t xml:space="preserve"> </w:t>
      </w:r>
    </w:p>
    <w:p w14:paraId="17AE8848" w14:textId="77777777" w:rsidR="00AD5C87" w:rsidRPr="00AD5C87" w:rsidRDefault="00AD5C87" w:rsidP="00AD5C87">
      <w:pPr>
        <w:pStyle w:val="ListParagraph"/>
        <w:numPr>
          <w:ilvl w:val="0"/>
          <w:numId w:val="10"/>
        </w:numPr>
        <w:rPr>
          <w:lang w:val="en-US" w:eastAsia="zh-CN"/>
        </w:rPr>
      </w:pPr>
      <w:r w:rsidRPr="00AD5C87">
        <w:rPr>
          <w:lang w:val="en-US" w:eastAsia="zh-CN"/>
        </w:rPr>
        <w:t>Tinterruption2 for the case that bandwidth of target cell is larger than the bandwidth of source cell for in intra-frequency DAPS handover is 1ms</w:t>
      </w:r>
    </w:p>
    <w:p w14:paraId="1DAEE509" w14:textId="77777777" w:rsidR="00AD5C87" w:rsidRPr="00AD5C87" w:rsidRDefault="00AD5C87" w:rsidP="00AD5C87">
      <w:pPr>
        <w:pStyle w:val="ListParagraph"/>
        <w:numPr>
          <w:ilvl w:val="0"/>
          <w:numId w:val="10"/>
        </w:numPr>
        <w:rPr>
          <w:lang w:val="en-US" w:eastAsia="zh-CN"/>
        </w:rPr>
      </w:pPr>
      <w:r w:rsidRPr="00AD5C87">
        <w:rPr>
          <w:lang w:val="en-US" w:eastAsia="zh-CN"/>
        </w:rPr>
        <w:t>The power imbalance between source cell and target cell will be discussed after the conclusion in NR DAPS discussion.</w:t>
      </w:r>
    </w:p>
    <w:p w14:paraId="59954A8F" w14:textId="77777777" w:rsidR="00AD5C87" w:rsidRPr="00AD5C87" w:rsidRDefault="00AD5C87" w:rsidP="00AD5C87">
      <w:pPr>
        <w:pStyle w:val="ListParagraph"/>
        <w:numPr>
          <w:ilvl w:val="0"/>
          <w:numId w:val="10"/>
        </w:numPr>
        <w:rPr>
          <w:lang w:val="en-US" w:eastAsia="zh-CN"/>
        </w:rPr>
      </w:pPr>
      <w:r w:rsidRPr="00AD5C87">
        <w:rPr>
          <w:lang w:val="en-US" w:eastAsia="zh-CN"/>
        </w:rPr>
        <w:t>RAN4 should wait for RAN2 decision of the source cell release message.</w:t>
      </w:r>
    </w:p>
    <w:p w14:paraId="3BC22EB4" w14:textId="49DC2BA2" w:rsidR="00AD5C87" w:rsidRPr="00AD5C87" w:rsidRDefault="00AD5C87" w:rsidP="00AD5C87">
      <w:pPr>
        <w:pStyle w:val="ListParagraph"/>
        <w:numPr>
          <w:ilvl w:val="0"/>
          <w:numId w:val="10"/>
        </w:numPr>
      </w:pPr>
      <w:r w:rsidRPr="00AD5C87">
        <w:t>Companies are encouraged to provided analysis on</w:t>
      </w:r>
    </w:p>
    <w:p w14:paraId="23868988" w14:textId="77777777" w:rsidR="00AD5C87" w:rsidRPr="00AD5C87" w:rsidRDefault="00AD5C87" w:rsidP="00AD5C87">
      <w:pPr>
        <w:pStyle w:val="ListParagraph"/>
        <w:numPr>
          <w:ilvl w:val="0"/>
          <w:numId w:val="12"/>
        </w:numPr>
      </w:pPr>
      <w:r w:rsidRPr="00AD5C87">
        <w:t>Tinterruption2 for the case that bandwidth of target cell is larger than the bandwidth of source cell for in intra-frequency DAPS handover:</w:t>
      </w:r>
    </w:p>
    <w:p w14:paraId="7B56ED96" w14:textId="77777777" w:rsidR="00AD5C87" w:rsidRPr="00AD5C87" w:rsidRDefault="00AD5C87" w:rsidP="00AD5C87">
      <w:pPr>
        <w:pStyle w:val="ListParagraph"/>
        <w:numPr>
          <w:ilvl w:val="1"/>
          <w:numId w:val="13"/>
        </w:numPr>
      </w:pPr>
      <w:r w:rsidRPr="00AD5C87">
        <w:t>Option 1: 1ms</w:t>
      </w:r>
    </w:p>
    <w:p w14:paraId="0FD642A4" w14:textId="72D71E1A" w:rsidR="00AD5C87" w:rsidRPr="00AD5C87" w:rsidRDefault="00AD5C87" w:rsidP="00AD5C87">
      <w:pPr>
        <w:pStyle w:val="ListParagraph"/>
        <w:numPr>
          <w:ilvl w:val="1"/>
          <w:numId w:val="13"/>
        </w:numPr>
      </w:pPr>
      <w:r w:rsidRPr="00AD5C87">
        <w:t>Option 2: 2ms</w:t>
      </w:r>
    </w:p>
    <w:p w14:paraId="29C75237" w14:textId="7EE430CA" w:rsidR="00AD5C87" w:rsidRDefault="00AD5C87" w:rsidP="00AD5C87">
      <w:pPr>
        <w:pStyle w:val="ListParagraph"/>
        <w:numPr>
          <w:ilvl w:val="0"/>
          <w:numId w:val="12"/>
        </w:numPr>
      </w:pPr>
      <w:r w:rsidRPr="00AD5C87">
        <w:t>If the requirements of intra-frequency DAPS handover are applied for synchronous case need further study.</w:t>
      </w:r>
    </w:p>
    <w:p w14:paraId="4A8603FF" w14:textId="77777777" w:rsidR="00AD5C87" w:rsidRDefault="00AD5C87" w:rsidP="00AD5C87"/>
    <w:p w14:paraId="0307CA7A" w14:textId="7B3F6802" w:rsidR="00AD5C87" w:rsidRDefault="00AD5C87" w:rsidP="00AD5C87">
      <w:r>
        <w:t>In addition the meeting report contains a note:</w:t>
      </w:r>
    </w:p>
    <w:p w14:paraId="77B9783C" w14:textId="5B9EEEE3" w:rsidR="00AD5C87" w:rsidRPr="00AD5C87" w:rsidRDefault="00AD5C87" w:rsidP="00AD5C87">
      <w:pPr>
        <w:rPr>
          <w:i/>
          <w:iCs/>
        </w:rPr>
      </w:pPr>
      <w:r w:rsidRPr="00AD5C87">
        <w:rPr>
          <w:i/>
          <w:iCs/>
        </w:rPr>
        <w:t>Note: two companies supported the view that the definition of synchronous DAPS handover shall be further studied and clearly embodied in specifications.</w:t>
      </w:r>
    </w:p>
    <w:p w14:paraId="76C00D7C" w14:textId="09FF25AD" w:rsidR="00902595" w:rsidRDefault="00902595" w:rsidP="00902595">
      <w:pPr>
        <w:pStyle w:val="Heading1"/>
        <w:jc w:val="both"/>
        <w:rPr>
          <w:rFonts w:eastAsia="SimSun"/>
          <w:lang w:val="en-US" w:eastAsia="zh-CN"/>
        </w:rPr>
      </w:pPr>
      <w:r>
        <w:rPr>
          <w:rFonts w:eastAsia="SimSun"/>
          <w:lang w:val="en-US" w:eastAsia="zh-CN"/>
        </w:rPr>
        <w:t>Discussion</w:t>
      </w:r>
    </w:p>
    <w:p w14:paraId="18E04FC8" w14:textId="36033E01" w:rsidR="00F65BFB" w:rsidRDefault="00637B0C" w:rsidP="00637B0C">
      <w:pPr>
        <w:rPr>
          <w:lang w:val="en-US" w:eastAsia="zh-CN"/>
        </w:rPr>
      </w:pPr>
      <w:r>
        <w:rPr>
          <w:lang w:val="en-US" w:eastAsia="zh-CN"/>
        </w:rPr>
        <w:t xml:space="preserve">In our understanding, </w:t>
      </w:r>
      <w:r w:rsidR="00AD5C87">
        <w:rPr>
          <w:lang w:val="en-US" w:eastAsia="zh-CN"/>
        </w:rPr>
        <w:t>power imbalance</w:t>
      </w:r>
      <w:r>
        <w:rPr>
          <w:lang w:val="en-US" w:eastAsia="zh-CN"/>
        </w:rPr>
        <w:t xml:space="preserve"> and the sychronisation issue are the most critical for DAPS handover, since they relate to the deployment scenarios in which DAPS may be used.</w:t>
      </w:r>
      <w:r w:rsidR="00F65BFB">
        <w:rPr>
          <w:lang w:val="en-US" w:eastAsia="zh-CN"/>
        </w:rPr>
        <w:t xml:space="preserve"> In this contribution we focus on these issues, since the value of </w:t>
      </w:r>
      <w:r w:rsidR="00AD5C87" w:rsidRPr="00AD5C87">
        <w:t>Tinterruption2</w:t>
      </w:r>
      <w:r w:rsidR="00F65BFB">
        <w:rPr>
          <w:lang w:val="en-US" w:eastAsia="zh-CN"/>
        </w:rPr>
        <w:t xml:space="preserve"> is considerably less significant to resolve.</w:t>
      </w:r>
    </w:p>
    <w:p w14:paraId="1C551BF7" w14:textId="7D26B05F" w:rsidR="00637B0C" w:rsidRPr="00F65BFB" w:rsidRDefault="00AD5C87" w:rsidP="00637B0C">
      <w:pPr>
        <w:rPr>
          <w:u w:val="single"/>
          <w:lang w:val="en-US" w:eastAsia="zh-CN"/>
        </w:rPr>
      </w:pPr>
      <w:r>
        <w:rPr>
          <w:lang w:val="en-US" w:eastAsia="zh-CN"/>
        </w:rPr>
        <w:t>Power imbalance</w:t>
      </w:r>
      <w:r w:rsidR="00F65BFB">
        <w:rPr>
          <w:lang w:val="en-US" w:eastAsia="zh-CN"/>
        </w:rPr>
        <w:t xml:space="preserve"> is discussed within the context of intra-frequency handover, since the normal ACS and ACLR requirements should secure performance for interfrequency handover with considerable power difference Synchronisation assumptions are discussed for all intraband scenarios, both intrafrequency and interfrequency handover within the same band.</w:t>
      </w:r>
    </w:p>
    <w:p w14:paraId="2BB36DE8" w14:textId="1254FD49" w:rsidR="00F65BFB" w:rsidRDefault="00347019" w:rsidP="00637B0C">
      <w:pPr>
        <w:rPr>
          <w:u w:val="single"/>
          <w:lang w:val="en-US" w:eastAsia="zh-CN"/>
        </w:rPr>
      </w:pPr>
      <w:r w:rsidRPr="00F65BFB">
        <w:rPr>
          <w:u w:val="single"/>
          <w:lang w:val="en-US" w:eastAsia="zh-CN"/>
        </w:rPr>
        <w:t>Synchronization</w:t>
      </w:r>
      <w:r w:rsidR="00F65BFB" w:rsidRPr="00F65BFB">
        <w:rPr>
          <w:u w:val="single"/>
          <w:lang w:val="en-US" w:eastAsia="zh-CN"/>
        </w:rPr>
        <w:t xml:space="preserve"> assumption</w:t>
      </w:r>
    </w:p>
    <w:p w14:paraId="2122E75E" w14:textId="25B0A88C" w:rsidR="00AD5C87" w:rsidRDefault="00AD5C87" w:rsidP="00637B0C">
      <w:pPr>
        <w:rPr>
          <w:lang w:val="en-US" w:eastAsia="zh-CN"/>
        </w:rPr>
      </w:pPr>
      <w:r>
        <w:rPr>
          <w:lang w:val="en-US" w:eastAsia="zh-CN"/>
        </w:rPr>
        <w:t>The basic analysis for syncronisation issues is the same in NR and LTE. To avoid duplication of the contribution, we refer to ou</w:t>
      </w:r>
      <w:r w:rsidR="008F3D69">
        <w:rPr>
          <w:lang w:val="en-US" w:eastAsia="zh-CN"/>
        </w:rPr>
        <w:t>r NR contribution on NR mobility enhancement</w:t>
      </w:r>
      <w:r w:rsidR="00D86F64">
        <w:rPr>
          <w:lang w:val="en-US" w:eastAsia="zh-CN"/>
        </w:rPr>
        <w:fldChar w:fldCharType="begin"/>
      </w:r>
      <w:r w:rsidR="00D86F64">
        <w:rPr>
          <w:lang w:val="en-US" w:eastAsia="zh-CN"/>
        </w:rPr>
        <w:instrText xml:space="preserve"> REF _Ref35961330 \r \h </w:instrText>
      </w:r>
      <w:r w:rsidR="00D86F64">
        <w:rPr>
          <w:lang w:val="en-US" w:eastAsia="zh-CN"/>
        </w:rPr>
      </w:r>
      <w:r w:rsidR="00D86F64">
        <w:rPr>
          <w:lang w:val="en-US" w:eastAsia="zh-CN"/>
        </w:rPr>
        <w:fldChar w:fldCharType="separate"/>
      </w:r>
      <w:r w:rsidR="00D86F64">
        <w:rPr>
          <w:lang w:val="en-US" w:eastAsia="zh-CN"/>
        </w:rPr>
        <w:t>[2]</w:t>
      </w:r>
      <w:r w:rsidR="00D86F64">
        <w:rPr>
          <w:lang w:val="en-US" w:eastAsia="zh-CN"/>
        </w:rPr>
        <w:fldChar w:fldCharType="end"/>
      </w:r>
      <w:r w:rsidR="008F3D69">
        <w:rPr>
          <w:lang w:val="en-US" w:eastAsia="zh-CN"/>
        </w:rPr>
        <w:t xml:space="preserve"> which discusses this issue; the same proposal is also valid for LTE, although the numerical definition of “loose” and “tight” sync may be different between LTE and NR (</w:t>
      </w:r>
      <w:r w:rsidR="00E71FF9">
        <w:rPr>
          <w:lang w:val="en-US" w:eastAsia="zh-CN"/>
        </w:rPr>
        <w:t>e.g.</w:t>
      </w:r>
      <w:r w:rsidR="008F3D69">
        <w:rPr>
          <w:lang w:val="en-US" w:eastAsia="zh-CN"/>
        </w:rPr>
        <w:t xml:space="preserve"> NR for 15kHz SCS may or may not use the same numerical value as LTE </w:t>
      </w:r>
      <w:r w:rsidR="00E71FF9">
        <w:rPr>
          <w:lang w:val="en-US" w:eastAsia="zh-CN"/>
        </w:rPr>
        <w:t>discussion. Specifications</w:t>
      </w:r>
      <w:r w:rsidR="008F3D69">
        <w:rPr>
          <w:lang w:val="en-US" w:eastAsia="zh-CN"/>
        </w:rPr>
        <w:t>). The corresponding observations are valid for LTE:</w:t>
      </w:r>
    </w:p>
    <w:p w14:paraId="5350A89F" w14:textId="65A8309D" w:rsidR="00946B36" w:rsidRDefault="00946B36" w:rsidP="00946B36">
      <w:pPr>
        <w:rPr>
          <w:b/>
          <w:bCs/>
          <w:lang w:val="en-US" w:eastAsia="zh-CN"/>
        </w:rPr>
      </w:pPr>
      <w:r>
        <w:rPr>
          <w:b/>
          <w:bCs/>
          <w:lang w:val="en-US" w:eastAsia="zh-CN"/>
        </w:rPr>
        <w:t>Observation 1 : For operation where the UE is assumed to use the same FFT for DL reception, tight synchronization (significantly shorter than CP and also allowing for possible multipath propagation) is necessary.</w:t>
      </w:r>
    </w:p>
    <w:p w14:paraId="6500AD5F" w14:textId="2528B6E3" w:rsidR="00946B36" w:rsidRDefault="00946B36" w:rsidP="00946B36">
      <w:pPr>
        <w:rPr>
          <w:b/>
          <w:bCs/>
          <w:lang w:val="en-US" w:eastAsia="zh-CN"/>
        </w:rPr>
      </w:pPr>
      <w:r>
        <w:rPr>
          <w:b/>
          <w:bCs/>
          <w:lang w:val="en-US" w:eastAsia="zh-CN"/>
        </w:rPr>
        <w:lastRenderedPageBreak/>
        <w:t>Observation 2 : For operation where the UE is assumed to use the same FFT for transmission, independent control of UL transmission timing is not possible</w:t>
      </w:r>
    </w:p>
    <w:p w14:paraId="3EB16A2C" w14:textId="7CB11BD1" w:rsidR="00946B36" w:rsidRDefault="00946B36" w:rsidP="00946B36">
      <w:pPr>
        <w:rPr>
          <w:b/>
          <w:bCs/>
          <w:lang w:val="en-US" w:eastAsia="zh-CN"/>
        </w:rPr>
      </w:pPr>
      <w:r>
        <w:rPr>
          <w:b/>
          <w:bCs/>
          <w:lang w:val="en-US" w:eastAsia="zh-CN"/>
        </w:rPr>
        <w:t xml:space="preserve">Observation 3 : For network synchronization, there are sometimes </w:t>
      </w:r>
      <w:r w:rsidR="00EA7C5C">
        <w:rPr>
          <w:b/>
          <w:bCs/>
          <w:lang w:val="en-US" w:eastAsia="zh-CN"/>
        </w:rPr>
        <w:t>significant</w:t>
      </w:r>
      <w:r>
        <w:rPr>
          <w:b/>
          <w:bCs/>
          <w:lang w:val="en-US" w:eastAsia="zh-CN"/>
        </w:rPr>
        <w:t xml:space="preserve"> </w:t>
      </w:r>
      <w:r w:rsidR="00EA7C5C">
        <w:rPr>
          <w:b/>
          <w:bCs/>
          <w:lang w:val="en-US" w:eastAsia="zh-CN"/>
        </w:rPr>
        <w:t>additional</w:t>
      </w:r>
      <w:r>
        <w:rPr>
          <w:b/>
          <w:bCs/>
          <w:lang w:val="en-US" w:eastAsia="zh-CN"/>
        </w:rPr>
        <w:t xml:space="preserve"> costs or feasibility aspects to consider for accurate sync, especially for cases where GPS based solutions cannot be used </w:t>
      </w:r>
    </w:p>
    <w:p w14:paraId="25FCD904" w14:textId="05A54DE6" w:rsidR="00946B36" w:rsidRDefault="00946B36" w:rsidP="00946B36">
      <w:pPr>
        <w:rPr>
          <w:b/>
          <w:bCs/>
          <w:lang w:val="en-US" w:eastAsia="zh-CN"/>
        </w:rPr>
      </w:pPr>
      <w:r>
        <w:rPr>
          <w:b/>
          <w:bCs/>
          <w:lang w:val="en-US" w:eastAsia="zh-CN"/>
        </w:rPr>
        <w:t xml:space="preserve">Observation 4 : </w:t>
      </w:r>
      <w:r w:rsidR="00EA7C5C">
        <w:rPr>
          <w:b/>
          <w:bCs/>
          <w:lang w:val="en-US" w:eastAsia="zh-CN"/>
        </w:rPr>
        <w:t>For TDD networks, cell phase sync requirements are met at the basestation antenna connectors</w:t>
      </w:r>
    </w:p>
    <w:p w14:paraId="31AA1678" w14:textId="72AF7233" w:rsidR="00EA7C5C" w:rsidRDefault="00EA7C5C" w:rsidP="00946B36">
      <w:pPr>
        <w:rPr>
          <w:b/>
          <w:bCs/>
          <w:lang w:val="en-US" w:eastAsia="zh-CN"/>
        </w:rPr>
      </w:pPr>
      <w:r>
        <w:rPr>
          <w:b/>
          <w:bCs/>
          <w:lang w:val="en-US" w:eastAsia="zh-CN"/>
        </w:rPr>
        <w:t>Observation 5 : As neither network nor UE has control over propagation conditions, a tighter syncronisation requirement at the UE antenna connector implies restricted deployment usability for DAPS handover</w:t>
      </w:r>
    </w:p>
    <w:p w14:paraId="4FBCF361" w14:textId="6F63D48D" w:rsidR="00EA7C5C" w:rsidRDefault="00EA7C5C" w:rsidP="00946B36">
      <w:pPr>
        <w:rPr>
          <w:lang w:val="en-US" w:eastAsia="zh-CN"/>
        </w:rPr>
      </w:pPr>
      <w:r>
        <w:rPr>
          <w:lang w:val="en-US" w:eastAsia="zh-CN"/>
        </w:rPr>
        <w:t>Based on the observations and discussion in RAN4#94e, it seems that there are at least 2 possible views of syncronisation for DAPS handover, depending on perspective</w:t>
      </w:r>
    </w:p>
    <w:p w14:paraId="029576E5" w14:textId="558C08E2" w:rsidR="00EA7C5C" w:rsidRDefault="00EA7C5C" w:rsidP="00946B36">
      <w:pPr>
        <w:rPr>
          <w:b/>
          <w:bCs/>
          <w:lang w:val="en-US" w:eastAsia="zh-CN"/>
        </w:rPr>
      </w:pPr>
      <w:r>
        <w:rPr>
          <w:b/>
          <w:bCs/>
          <w:lang w:val="en-US" w:eastAsia="zh-CN"/>
        </w:rPr>
        <w:t>View 1 : Syncronisation between cells at the UE significantly better than the CP duration</w:t>
      </w:r>
      <w:r w:rsidR="00EE6FF6">
        <w:rPr>
          <w:b/>
          <w:bCs/>
          <w:lang w:val="en-US" w:eastAsia="zh-CN"/>
        </w:rPr>
        <w:t xml:space="preserve"> is necessary</w:t>
      </w:r>
      <w:r>
        <w:rPr>
          <w:b/>
          <w:bCs/>
          <w:lang w:val="en-US" w:eastAsia="zh-CN"/>
        </w:rPr>
        <w:t xml:space="preserve"> to allow single FFT </w:t>
      </w:r>
      <w:r w:rsidR="00E71FF9">
        <w:rPr>
          <w:b/>
          <w:bCs/>
          <w:lang w:val="en-US" w:eastAsia="zh-CN"/>
        </w:rPr>
        <w:t>architectures</w:t>
      </w:r>
      <w:r>
        <w:rPr>
          <w:b/>
          <w:bCs/>
          <w:lang w:val="en-US" w:eastAsia="zh-CN"/>
        </w:rPr>
        <w:t xml:space="preserve"> for reception and transmission</w:t>
      </w:r>
    </w:p>
    <w:p w14:paraId="63DE250C" w14:textId="4C3BE62F" w:rsidR="00EA7C5C" w:rsidRDefault="00EA7C5C" w:rsidP="00946B36">
      <w:pPr>
        <w:rPr>
          <w:b/>
          <w:bCs/>
          <w:lang w:val="en-US" w:eastAsia="zh-CN"/>
        </w:rPr>
      </w:pPr>
      <w:r>
        <w:rPr>
          <w:b/>
          <w:bCs/>
          <w:lang w:val="en-US" w:eastAsia="zh-CN"/>
        </w:rPr>
        <w:t xml:space="preserve">View 2 :  </w:t>
      </w:r>
      <w:r w:rsidR="00EE6FF6">
        <w:rPr>
          <w:b/>
          <w:bCs/>
          <w:lang w:val="en-US" w:eastAsia="zh-CN"/>
        </w:rPr>
        <w:t>Syncronisation between cells at the UE should allow for DAPS handover to be used in different deployment scenarios considering a maximum cell size such as 10km</w:t>
      </w:r>
    </w:p>
    <w:p w14:paraId="2DD13852" w14:textId="4F2AB82B" w:rsidR="008C724A" w:rsidRDefault="008F3D69" w:rsidP="008C724A">
      <w:pPr>
        <w:rPr>
          <w:lang w:val="en-US" w:eastAsia="zh-CN"/>
        </w:rPr>
      </w:pPr>
      <w:r>
        <w:rPr>
          <w:lang w:val="en-US" w:eastAsia="zh-CN"/>
        </w:rPr>
        <w:t>Three</w:t>
      </w:r>
      <w:r w:rsidR="008C724A">
        <w:rPr>
          <w:lang w:val="en-US" w:eastAsia="zh-CN"/>
        </w:rPr>
        <w:t xml:space="preserve"> approaches have been identified for the specification of synchronous DAPS handover. In addition, we assume that there may be an asynchronous DAPS capability and we do not discuss this further here, other than to say that naturally if a UE supports asynchronous DAPS handover the question for the boundary between sycnronous and asynchronous becomes less critical other than to say that there may be different RAN4 requirements for both types of handover. However, we restrict the discussion to the case of UEs which do not support </w:t>
      </w:r>
      <w:r w:rsidR="00E71FF9">
        <w:rPr>
          <w:lang w:val="en-US" w:eastAsia="zh-CN"/>
        </w:rPr>
        <w:t>asynchronous</w:t>
      </w:r>
      <w:r w:rsidR="008C724A">
        <w:rPr>
          <w:lang w:val="en-US" w:eastAsia="zh-CN"/>
        </w:rPr>
        <w:t xml:space="preserve"> operation, at least for the handover type (intra, inter </w:t>
      </w:r>
      <w:r w:rsidR="00E71FF9">
        <w:rPr>
          <w:lang w:val="en-US" w:eastAsia="zh-CN"/>
        </w:rPr>
        <w:t>etc.</w:t>
      </w:r>
      <w:r w:rsidR="008C724A">
        <w:rPr>
          <w:lang w:val="en-US" w:eastAsia="zh-CN"/>
        </w:rPr>
        <w:t xml:space="preserve">) being considered. The 3 </w:t>
      </w:r>
      <w:r w:rsidR="00E71FF9">
        <w:rPr>
          <w:lang w:val="en-US" w:eastAsia="zh-CN"/>
        </w:rPr>
        <w:t>identified</w:t>
      </w:r>
      <w:r w:rsidR="008C724A">
        <w:rPr>
          <w:lang w:val="en-US" w:eastAsia="zh-CN"/>
        </w:rPr>
        <w:t xml:space="preserve"> alternatives are:</w:t>
      </w:r>
    </w:p>
    <w:p w14:paraId="25B00215" w14:textId="0D802EC1" w:rsidR="00412397" w:rsidRPr="00412397" w:rsidRDefault="00412397" w:rsidP="00412397">
      <w:pPr>
        <w:rPr>
          <w:lang w:val="en-US" w:eastAsia="zh-CN"/>
        </w:rPr>
      </w:pPr>
      <w:r w:rsidRPr="00412397">
        <w:rPr>
          <w:b/>
          <w:bCs/>
          <w:u w:val="single"/>
          <w:lang w:val="en-US" w:eastAsia="zh-CN"/>
        </w:rPr>
        <w:t>Alt-1</w:t>
      </w:r>
      <w:r w:rsidRPr="00412397">
        <w:rPr>
          <w:lang w:val="en-US" w:eastAsia="zh-CN"/>
        </w:rPr>
        <w:t xml:space="preserve"> : UE shall support DAPS handover with “loose sync” e.g. ≥33uS time difference</w:t>
      </w:r>
    </w:p>
    <w:p w14:paraId="6C4CA024" w14:textId="12CE2B37" w:rsidR="00412397" w:rsidRPr="00412397" w:rsidRDefault="00412397" w:rsidP="00412397">
      <w:pPr>
        <w:rPr>
          <w:lang w:val="en-US" w:eastAsia="zh-CN"/>
        </w:rPr>
      </w:pPr>
      <w:r w:rsidRPr="00412397">
        <w:rPr>
          <w:b/>
          <w:bCs/>
          <w:u w:val="single"/>
          <w:lang w:val="en-US" w:eastAsia="zh-CN"/>
        </w:rPr>
        <w:t xml:space="preserve">Alt-2 </w:t>
      </w:r>
      <w:r w:rsidRPr="00412397">
        <w:rPr>
          <w:lang w:val="en-US" w:eastAsia="zh-CN"/>
        </w:rPr>
        <w:t>: Investigate feasibility to specify “tight sync” or “loose” sync DAPS handover capabilities for intra-f/intra-band HO.</w:t>
      </w:r>
    </w:p>
    <w:p w14:paraId="7A50153C" w14:textId="2D0744FC" w:rsidR="00412397" w:rsidRDefault="00412397" w:rsidP="00412397">
      <w:pPr>
        <w:rPr>
          <w:lang w:val="en-US" w:eastAsia="zh-CN"/>
        </w:rPr>
      </w:pPr>
      <w:r w:rsidRPr="00412397">
        <w:rPr>
          <w:b/>
          <w:bCs/>
          <w:u w:val="single"/>
          <w:lang w:val="en-US" w:eastAsia="zh-CN"/>
        </w:rPr>
        <w:t>Alt-3</w:t>
      </w:r>
      <w:r w:rsidRPr="00412397">
        <w:rPr>
          <w:lang w:val="en-US" w:eastAsia="zh-CN"/>
        </w:rPr>
        <w:t xml:space="preserve"> : Accept the limited use cases for “tight-sync” DAPS handover and that there are many scenarios where such sync cannot be guaranteed. In those cases the NW would fall back to legacy handover</w:t>
      </w:r>
    </w:p>
    <w:p w14:paraId="61EED2D0" w14:textId="3A785DEE" w:rsidR="008F3D69" w:rsidRDefault="008F3D69" w:rsidP="008F3D69">
      <w:pPr>
        <w:rPr>
          <w:lang w:val="en-US" w:eastAsia="zh-CN"/>
        </w:rPr>
      </w:pPr>
      <w:r>
        <w:rPr>
          <w:lang w:val="en-US" w:eastAsia="zh-CN"/>
        </w:rPr>
        <w:t>Further discussion of these alternatives is provided in the corresponding NR paper and we propose</w:t>
      </w:r>
    </w:p>
    <w:p w14:paraId="2E690836" w14:textId="77777777" w:rsidR="00833E67" w:rsidRDefault="00833E67" w:rsidP="00946B36">
      <w:pPr>
        <w:rPr>
          <w:b/>
          <w:bCs/>
          <w:lang w:val="en-US" w:eastAsia="zh-CN"/>
        </w:rPr>
      </w:pPr>
      <w:r>
        <w:rPr>
          <w:b/>
          <w:bCs/>
          <w:lang w:val="en-US" w:eastAsia="zh-CN"/>
        </w:rPr>
        <w:t>Proposal 1 : RAN4 should discuss alternatives for syncronisation accuracy in DAPS handover, and explicitly capture the condition in which synchronous DAPS handover is expected to succeed as a side condition of requirements in 38.133</w:t>
      </w:r>
    </w:p>
    <w:p w14:paraId="2498B0A4" w14:textId="7F3ABEE5" w:rsidR="00833E67" w:rsidRDefault="00833E67" w:rsidP="00833E67">
      <w:pPr>
        <w:rPr>
          <w:u w:val="single"/>
          <w:lang w:val="en-US" w:eastAsia="zh-CN"/>
        </w:rPr>
      </w:pPr>
      <w:r>
        <w:rPr>
          <w:u w:val="single"/>
          <w:lang w:val="en-US" w:eastAsia="zh-CN"/>
        </w:rPr>
        <w:t>Imbalance</w:t>
      </w:r>
      <w:r w:rsidRPr="00F65BFB">
        <w:rPr>
          <w:u w:val="single"/>
          <w:lang w:val="en-US" w:eastAsia="zh-CN"/>
        </w:rPr>
        <w:t xml:space="preserve"> assumption</w:t>
      </w:r>
    </w:p>
    <w:p w14:paraId="232370CB" w14:textId="4FA95B15" w:rsidR="00833E67" w:rsidRDefault="00833E67" w:rsidP="00946B36">
      <w:pPr>
        <w:rPr>
          <w:lang w:val="en-US" w:eastAsia="zh-CN"/>
        </w:rPr>
      </w:pPr>
      <w:r>
        <w:rPr>
          <w:lang w:val="en-US" w:eastAsia="zh-CN"/>
        </w:rPr>
        <w:t>Similarly to the discussion on syncronisation, the imbalance at UE</w:t>
      </w:r>
      <w:r w:rsidR="00F43C54">
        <w:rPr>
          <w:lang w:val="en-US" w:eastAsia="zh-CN"/>
        </w:rPr>
        <w:t xml:space="preserve"> antenna connector</w:t>
      </w:r>
      <w:r>
        <w:rPr>
          <w:lang w:val="en-US" w:eastAsia="zh-CN"/>
        </w:rPr>
        <w:t xml:space="preserve"> depends on two factors</w:t>
      </w:r>
    </w:p>
    <w:p w14:paraId="7F641318" w14:textId="3A446F7E" w:rsidR="00833E67" w:rsidRDefault="00833E67" w:rsidP="008D526E">
      <w:pPr>
        <w:pStyle w:val="3GPPNormalText"/>
        <w:numPr>
          <w:ilvl w:val="0"/>
          <w:numId w:val="8"/>
        </w:numPr>
        <w:rPr>
          <w:lang w:eastAsia="zh-CN"/>
        </w:rPr>
      </w:pPr>
      <w:r>
        <w:rPr>
          <w:lang w:eastAsia="zh-CN"/>
        </w:rPr>
        <w:t>The imbalance of transmission power at the gNB antenna connectors</w:t>
      </w:r>
      <w:r w:rsidR="00F43C54">
        <w:rPr>
          <w:lang w:eastAsia="zh-CN"/>
        </w:rPr>
        <w:t xml:space="preserve"> relative to each other</w:t>
      </w:r>
    </w:p>
    <w:p w14:paraId="7C5023AE" w14:textId="0C6396B8" w:rsidR="00833E67" w:rsidRDefault="00833E67" w:rsidP="008D526E">
      <w:pPr>
        <w:pStyle w:val="3GPPNormalText"/>
        <w:numPr>
          <w:ilvl w:val="0"/>
          <w:numId w:val="8"/>
        </w:numPr>
        <w:rPr>
          <w:lang w:eastAsia="zh-CN"/>
        </w:rPr>
      </w:pPr>
      <w:r w:rsidRPr="00833E67">
        <w:rPr>
          <w:lang w:eastAsia="zh-CN"/>
        </w:rPr>
        <w:t xml:space="preserve"> </w:t>
      </w:r>
      <w:r>
        <w:rPr>
          <w:lang w:eastAsia="zh-CN"/>
        </w:rPr>
        <w:t xml:space="preserve">The </w:t>
      </w:r>
      <w:r w:rsidR="00F43C54">
        <w:rPr>
          <w:lang w:eastAsia="zh-CN"/>
        </w:rPr>
        <w:t>propagation condition between the gNB and the UE, which is not controlled by the basestation</w:t>
      </w:r>
    </w:p>
    <w:p w14:paraId="7AC60805" w14:textId="77777777" w:rsidR="008F3D69" w:rsidRDefault="00F43C54" w:rsidP="00F43C54">
      <w:pPr>
        <w:pStyle w:val="3GPPNormalText"/>
        <w:ind w:firstLine="0"/>
        <w:rPr>
          <w:lang w:eastAsia="zh-CN"/>
        </w:rPr>
      </w:pPr>
      <w:r>
        <w:rPr>
          <w:lang w:eastAsia="zh-CN"/>
        </w:rPr>
        <w:t xml:space="preserve">Hence, the issue is also related to deployment considerations. </w:t>
      </w:r>
    </w:p>
    <w:p w14:paraId="007C4CAE" w14:textId="4712C9A5" w:rsidR="008F3D69" w:rsidRDefault="008F3D69" w:rsidP="008F3D69">
      <w:pPr>
        <w:pStyle w:val="3GPPNormalText"/>
        <w:ind w:firstLine="0"/>
        <w:rPr>
          <w:lang w:eastAsia="zh-CN"/>
        </w:rPr>
      </w:pPr>
      <w:r>
        <w:rPr>
          <w:lang w:eastAsia="zh-CN"/>
        </w:rPr>
        <w:t xml:space="preserve">Here we also think that a common analysis is relevant between NR and LTE. In our NR contribution we argue that as either source or target connection may fail during the DAPS handover </w:t>
      </w:r>
      <w:r w:rsidR="00D86F64">
        <w:rPr>
          <w:lang w:eastAsia="zh-CN"/>
        </w:rPr>
        <w:t xml:space="preserve">it is not really relevant to specify an imbalance in </w:t>
      </w:r>
      <w:r w:rsidR="00E71FF9">
        <w:rPr>
          <w:lang w:eastAsia="zh-CN"/>
        </w:rPr>
        <w:t>db.</w:t>
      </w:r>
      <w:r w:rsidR="00D86F64">
        <w:rPr>
          <w:lang w:eastAsia="zh-CN"/>
        </w:rPr>
        <w:t xml:space="preserve"> For LTE we also think the similar proposal is relevant</w:t>
      </w:r>
    </w:p>
    <w:p w14:paraId="4E0FC671" w14:textId="3069BEB0" w:rsidR="008C724A" w:rsidRPr="008C724A" w:rsidRDefault="008C724A" w:rsidP="00946B36">
      <w:pPr>
        <w:rPr>
          <w:b/>
          <w:bCs/>
          <w:lang w:val="en-US" w:eastAsia="zh-CN"/>
        </w:rPr>
      </w:pPr>
      <w:r>
        <w:rPr>
          <w:b/>
          <w:bCs/>
          <w:lang w:val="en-US" w:eastAsia="zh-CN"/>
        </w:rPr>
        <w:t>Proposal 2 : The power imbalance during DAPS handover is not specified in 3</w:t>
      </w:r>
      <w:r w:rsidR="00D86F64">
        <w:rPr>
          <w:b/>
          <w:bCs/>
          <w:lang w:val="en-US" w:eastAsia="zh-CN"/>
        </w:rPr>
        <w:t>6</w:t>
      </w:r>
      <w:r>
        <w:rPr>
          <w:b/>
          <w:bCs/>
          <w:lang w:val="en-US" w:eastAsia="zh-CN"/>
        </w:rPr>
        <w:t>.133</w:t>
      </w:r>
    </w:p>
    <w:p w14:paraId="5221E09A" w14:textId="3D6AF4AC" w:rsidR="006B6666" w:rsidRDefault="006B6666" w:rsidP="006B6666">
      <w:pPr>
        <w:pStyle w:val="Heading1"/>
        <w:jc w:val="both"/>
        <w:rPr>
          <w:rFonts w:eastAsia="SimSun"/>
          <w:lang w:val="en-US" w:eastAsia="zh-CN"/>
        </w:rPr>
      </w:pPr>
      <w:r>
        <w:rPr>
          <w:rFonts w:eastAsia="SimSun"/>
          <w:lang w:val="en-US" w:eastAsia="zh-CN"/>
        </w:rPr>
        <w:t>Conclusions</w:t>
      </w:r>
    </w:p>
    <w:p w14:paraId="312AC861" w14:textId="1D999BAB" w:rsidR="008C724A" w:rsidRDefault="008C724A" w:rsidP="008C724A">
      <w:pPr>
        <w:rPr>
          <w:lang w:val="en-US" w:eastAsia="zh-CN"/>
        </w:rPr>
      </w:pPr>
      <w:r>
        <w:rPr>
          <w:lang w:val="en-US" w:eastAsia="zh-CN"/>
        </w:rPr>
        <w:t>In this contribution, we discuss syncronisation and power imbalance for DAPS handover.</w:t>
      </w:r>
    </w:p>
    <w:p w14:paraId="6BC8DACF" w14:textId="617E2B60" w:rsidR="008C724A" w:rsidRDefault="008C724A" w:rsidP="008C724A">
      <w:pPr>
        <w:rPr>
          <w:lang w:val="en-US" w:eastAsia="zh-CN"/>
        </w:rPr>
      </w:pPr>
      <w:r>
        <w:rPr>
          <w:lang w:val="en-US" w:eastAsia="zh-CN"/>
        </w:rPr>
        <w:t xml:space="preserve">3 approaches have been identified for the specification of synchronous DAPS handover. In addition, we assume that there may be an asynchronous DAPS capability and we do not discuss this further here, other than to say that naturally if a UE supports asynchronous DAPS handover the question for the boundary between sycnronous and asynchronous becomes less critical other than to say that there may be different RAN4 requirements for both types of handover. However, we restrict the discussion to the case of UEs which do not support </w:t>
      </w:r>
      <w:r w:rsidR="00E71FF9">
        <w:rPr>
          <w:lang w:val="en-US" w:eastAsia="zh-CN"/>
        </w:rPr>
        <w:t>asynchronous</w:t>
      </w:r>
      <w:r>
        <w:rPr>
          <w:lang w:val="en-US" w:eastAsia="zh-CN"/>
        </w:rPr>
        <w:t xml:space="preserve"> operation, at least for the handover type (intra, inter </w:t>
      </w:r>
      <w:r w:rsidR="00E71FF9">
        <w:rPr>
          <w:lang w:val="en-US" w:eastAsia="zh-CN"/>
        </w:rPr>
        <w:t>etc.</w:t>
      </w:r>
      <w:r>
        <w:rPr>
          <w:lang w:val="en-US" w:eastAsia="zh-CN"/>
        </w:rPr>
        <w:t xml:space="preserve">) being considered. The 3 </w:t>
      </w:r>
      <w:r w:rsidR="00E71FF9">
        <w:rPr>
          <w:lang w:val="en-US" w:eastAsia="zh-CN"/>
        </w:rPr>
        <w:t>identified</w:t>
      </w:r>
      <w:r>
        <w:rPr>
          <w:lang w:val="en-US" w:eastAsia="zh-CN"/>
        </w:rPr>
        <w:t xml:space="preserve"> alternatives are:</w:t>
      </w:r>
    </w:p>
    <w:p w14:paraId="137F2C51" w14:textId="77777777" w:rsidR="008C724A" w:rsidRPr="00412397" w:rsidRDefault="008C724A" w:rsidP="008C724A">
      <w:pPr>
        <w:rPr>
          <w:lang w:val="en-US" w:eastAsia="zh-CN"/>
        </w:rPr>
      </w:pPr>
      <w:r w:rsidRPr="00412397">
        <w:rPr>
          <w:b/>
          <w:bCs/>
          <w:u w:val="single"/>
          <w:lang w:val="en-US" w:eastAsia="zh-CN"/>
        </w:rPr>
        <w:lastRenderedPageBreak/>
        <w:t>Alt-1</w:t>
      </w:r>
      <w:r w:rsidRPr="00412397">
        <w:rPr>
          <w:lang w:val="en-US" w:eastAsia="zh-CN"/>
        </w:rPr>
        <w:t xml:space="preserve"> : UE shall support DAPS handover with “loose sync” e.g. ≥33uS time difference</w:t>
      </w:r>
    </w:p>
    <w:p w14:paraId="10D3CF4F" w14:textId="77777777" w:rsidR="008C724A" w:rsidRPr="00412397" w:rsidRDefault="008C724A" w:rsidP="008C724A">
      <w:pPr>
        <w:rPr>
          <w:lang w:val="en-US" w:eastAsia="zh-CN"/>
        </w:rPr>
      </w:pPr>
      <w:r w:rsidRPr="00412397">
        <w:rPr>
          <w:b/>
          <w:bCs/>
          <w:u w:val="single"/>
          <w:lang w:val="en-US" w:eastAsia="zh-CN"/>
        </w:rPr>
        <w:t xml:space="preserve">Alt-2 </w:t>
      </w:r>
      <w:r w:rsidRPr="00412397">
        <w:rPr>
          <w:lang w:val="en-US" w:eastAsia="zh-CN"/>
        </w:rPr>
        <w:t>: Investigate feasibility to specify “tight sync” or “loose” sync DAPS handover capabilities for intra-f/intra-band HO.</w:t>
      </w:r>
    </w:p>
    <w:p w14:paraId="28C4BFCD" w14:textId="77777777" w:rsidR="008C724A" w:rsidRDefault="008C724A" w:rsidP="008C724A">
      <w:pPr>
        <w:rPr>
          <w:lang w:val="en-US" w:eastAsia="zh-CN"/>
        </w:rPr>
      </w:pPr>
      <w:r w:rsidRPr="00412397">
        <w:rPr>
          <w:b/>
          <w:bCs/>
          <w:u w:val="single"/>
          <w:lang w:val="en-US" w:eastAsia="zh-CN"/>
        </w:rPr>
        <w:t>Alt-3</w:t>
      </w:r>
      <w:r w:rsidRPr="00412397">
        <w:rPr>
          <w:lang w:val="en-US" w:eastAsia="zh-CN"/>
        </w:rPr>
        <w:t xml:space="preserve"> : Accept the limited use cases for “tight-sync” DAPS handover and that there are many scenarios where such sync cannot be guaranteed. In those cases the NW would fall back to legacy handover</w:t>
      </w:r>
    </w:p>
    <w:p w14:paraId="4B392EE5" w14:textId="27315922" w:rsidR="008C724A" w:rsidRPr="008C724A" w:rsidRDefault="00D86F64" w:rsidP="008C724A">
      <w:pPr>
        <w:rPr>
          <w:lang w:val="en-US" w:eastAsia="zh-CN"/>
        </w:rPr>
      </w:pPr>
      <w:r>
        <w:rPr>
          <w:lang w:val="en-US" w:eastAsia="zh-CN"/>
        </w:rPr>
        <w:t>Based on the discussion we propose:</w:t>
      </w:r>
    </w:p>
    <w:p w14:paraId="5269A543" w14:textId="77777777" w:rsidR="008C724A" w:rsidRDefault="008C724A" w:rsidP="008C724A">
      <w:pPr>
        <w:rPr>
          <w:b/>
          <w:bCs/>
          <w:lang w:val="en-US" w:eastAsia="zh-CN"/>
        </w:rPr>
      </w:pPr>
      <w:r>
        <w:rPr>
          <w:b/>
          <w:bCs/>
          <w:lang w:val="en-US" w:eastAsia="zh-CN"/>
        </w:rPr>
        <w:t>Proposal 1 : RAN4 should discuss alternatives for syncronisation accuracy in DAPS handover, and explicitly capture the condition in which synchronous DAPS handover is expected to succeed as a side condition of requirements in 38.133</w:t>
      </w:r>
    </w:p>
    <w:p w14:paraId="09CB2ED8" w14:textId="34132A54" w:rsidR="008C724A" w:rsidRPr="008C724A" w:rsidRDefault="008C724A" w:rsidP="008C724A">
      <w:pPr>
        <w:rPr>
          <w:b/>
          <w:bCs/>
          <w:lang w:val="en-US" w:eastAsia="zh-CN"/>
        </w:rPr>
      </w:pPr>
      <w:r>
        <w:rPr>
          <w:b/>
          <w:bCs/>
          <w:lang w:val="en-US" w:eastAsia="zh-CN"/>
        </w:rPr>
        <w:t>Proposal 2 : The power imbalance during DAPS handover is not specified in 3</w:t>
      </w:r>
      <w:r w:rsidR="00D86F64">
        <w:rPr>
          <w:b/>
          <w:bCs/>
          <w:lang w:val="en-US" w:eastAsia="zh-CN"/>
        </w:rPr>
        <w:t>6</w:t>
      </w:r>
      <w:r>
        <w:rPr>
          <w:b/>
          <w:bCs/>
          <w:lang w:val="en-US" w:eastAsia="zh-CN"/>
        </w:rPr>
        <w:t>.133</w:t>
      </w:r>
    </w:p>
    <w:p w14:paraId="545E19FC" w14:textId="77777777" w:rsidR="00153940" w:rsidRPr="00153940" w:rsidRDefault="00153940" w:rsidP="00153940">
      <w:pPr>
        <w:rPr>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B7D5768" w14:textId="36B8498E" w:rsidR="003F08E6" w:rsidRDefault="00637B0C" w:rsidP="008A6A96">
      <w:pPr>
        <w:pStyle w:val="3GPPNormalText"/>
        <w:numPr>
          <w:ilvl w:val="0"/>
          <w:numId w:val="5"/>
        </w:numPr>
        <w:rPr>
          <w:szCs w:val="20"/>
          <w:lang w:eastAsia="zh-CN"/>
        </w:rPr>
      </w:pPr>
      <w:bookmarkStart w:id="1" w:name="_Ref34988837"/>
      <w:r w:rsidRPr="00637B0C">
        <w:rPr>
          <w:szCs w:val="20"/>
          <w:lang w:eastAsia="zh-CN"/>
        </w:rPr>
        <w:t>R4-2002</w:t>
      </w:r>
      <w:r w:rsidR="00AD5C87">
        <w:rPr>
          <w:szCs w:val="20"/>
          <w:lang w:eastAsia="zh-CN"/>
        </w:rPr>
        <w:t>272, “</w:t>
      </w:r>
      <w:r w:rsidR="00AD5C87" w:rsidRPr="00AD5C87">
        <w:rPr>
          <w:szCs w:val="20"/>
          <w:lang w:val="en-GB" w:eastAsia="zh-CN"/>
        </w:rPr>
        <w:t>Way forward on LTE mobility enhancement</w:t>
      </w:r>
      <w:r w:rsidR="00AD5C87">
        <w:rPr>
          <w:szCs w:val="20"/>
          <w:lang w:eastAsia="zh-CN"/>
        </w:rPr>
        <w:t>”, Nokia</w:t>
      </w:r>
      <w:bookmarkEnd w:id="1"/>
    </w:p>
    <w:p w14:paraId="56EA9B1C" w14:textId="6A0791AF" w:rsidR="008F3D69" w:rsidRDefault="008F3D69" w:rsidP="008A6A96">
      <w:pPr>
        <w:pStyle w:val="3GPPNormalText"/>
        <w:numPr>
          <w:ilvl w:val="0"/>
          <w:numId w:val="5"/>
        </w:numPr>
        <w:rPr>
          <w:szCs w:val="20"/>
          <w:lang w:eastAsia="zh-CN"/>
        </w:rPr>
      </w:pPr>
      <w:bookmarkStart w:id="2" w:name="_Ref35961330"/>
      <w:r>
        <w:rPr>
          <w:szCs w:val="20"/>
          <w:lang w:eastAsia="zh-CN"/>
        </w:rPr>
        <w:t>R4-20xxxxx, “</w:t>
      </w:r>
      <w:r w:rsidRPr="008F3D69">
        <w:rPr>
          <w:szCs w:val="20"/>
          <w:lang w:eastAsia="zh-CN"/>
        </w:rPr>
        <w:t>Considerations for NR DAPS handover</w:t>
      </w:r>
      <w:r>
        <w:rPr>
          <w:szCs w:val="20"/>
          <w:lang w:eastAsia="zh-CN"/>
        </w:rPr>
        <w:t>”, Ericsson</w:t>
      </w:r>
      <w:bookmarkEnd w:id="2"/>
      <w:r>
        <w:rPr>
          <w:szCs w:val="20"/>
          <w:lang w:eastAsia="zh-CN"/>
        </w:rPr>
        <w:t xml:space="preserve"> </w:t>
      </w:r>
    </w:p>
    <w:sectPr w:rsidR="008F3D69"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570E4" w14:textId="77777777" w:rsidR="006D5F97" w:rsidRDefault="006D5F97">
      <w:r>
        <w:separator/>
      </w:r>
    </w:p>
  </w:endnote>
  <w:endnote w:type="continuationSeparator" w:id="0">
    <w:p w14:paraId="7CA3FD29" w14:textId="77777777" w:rsidR="006D5F97" w:rsidRDefault="006D5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2EFBD" w14:textId="77777777" w:rsidR="006D5F97" w:rsidRDefault="006D5F97">
      <w:r>
        <w:separator/>
      </w:r>
    </w:p>
  </w:footnote>
  <w:footnote w:type="continuationSeparator" w:id="0">
    <w:p w14:paraId="75539D26" w14:textId="77777777" w:rsidR="006D5F97" w:rsidRDefault="006D5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BEF"/>
    <w:multiLevelType w:val="hybridMultilevel"/>
    <w:tmpl w:val="65A8517C"/>
    <w:lvl w:ilvl="0" w:tplc="87FA140A">
      <w:start w:val="1"/>
      <w:numFmt w:val="bullet"/>
      <w:lvlText w:val="•"/>
      <w:lvlJc w:val="left"/>
      <w:pPr>
        <w:tabs>
          <w:tab w:val="num" w:pos="720"/>
        </w:tabs>
        <w:ind w:left="720" w:hanging="360"/>
      </w:pPr>
      <w:rPr>
        <w:rFonts w:ascii="Arial" w:hAnsi="Arial" w:hint="default"/>
      </w:rPr>
    </w:lvl>
    <w:lvl w:ilvl="1" w:tplc="4BDA67A0" w:tentative="1">
      <w:start w:val="1"/>
      <w:numFmt w:val="bullet"/>
      <w:lvlText w:val="•"/>
      <w:lvlJc w:val="left"/>
      <w:pPr>
        <w:tabs>
          <w:tab w:val="num" w:pos="1440"/>
        </w:tabs>
        <w:ind w:left="1440" w:hanging="360"/>
      </w:pPr>
      <w:rPr>
        <w:rFonts w:ascii="Arial" w:hAnsi="Arial" w:hint="default"/>
      </w:rPr>
    </w:lvl>
    <w:lvl w:ilvl="2" w:tplc="C710536C" w:tentative="1">
      <w:start w:val="1"/>
      <w:numFmt w:val="bullet"/>
      <w:lvlText w:val="•"/>
      <w:lvlJc w:val="left"/>
      <w:pPr>
        <w:tabs>
          <w:tab w:val="num" w:pos="2160"/>
        </w:tabs>
        <w:ind w:left="2160" w:hanging="360"/>
      </w:pPr>
      <w:rPr>
        <w:rFonts w:ascii="Arial" w:hAnsi="Arial" w:hint="default"/>
      </w:rPr>
    </w:lvl>
    <w:lvl w:ilvl="3" w:tplc="CE78865C" w:tentative="1">
      <w:start w:val="1"/>
      <w:numFmt w:val="bullet"/>
      <w:lvlText w:val="•"/>
      <w:lvlJc w:val="left"/>
      <w:pPr>
        <w:tabs>
          <w:tab w:val="num" w:pos="2880"/>
        </w:tabs>
        <w:ind w:left="2880" w:hanging="360"/>
      </w:pPr>
      <w:rPr>
        <w:rFonts w:ascii="Arial" w:hAnsi="Arial" w:hint="default"/>
      </w:rPr>
    </w:lvl>
    <w:lvl w:ilvl="4" w:tplc="0A967F42" w:tentative="1">
      <w:start w:val="1"/>
      <w:numFmt w:val="bullet"/>
      <w:lvlText w:val="•"/>
      <w:lvlJc w:val="left"/>
      <w:pPr>
        <w:tabs>
          <w:tab w:val="num" w:pos="3600"/>
        </w:tabs>
        <w:ind w:left="3600" w:hanging="360"/>
      </w:pPr>
      <w:rPr>
        <w:rFonts w:ascii="Arial" w:hAnsi="Arial" w:hint="default"/>
      </w:rPr>
    </w:lvl>
    <w:lvl w:ilvl="5" w:tplc="A0F2F810" w:tentative="1">
      <w:start w:val="1"/>
      <w:numFmt w:val="bullet"/>
      <w:lvlText w:val="•"/>
      <w:lvlJc w:val="left"/>
      <w:pPr>
        <w:tabs>
          <w:tab w:val="num" w:pos="4320"/>
        </w:tabs>
        <w:ind w:left="4320" w:hanging="360"/>
      </w:pPr>
      <w:rPr>
        <w:rFonts w:ascii="Arial" w:hAnsi="Arial" w:hint="default"/>
      </w:rPr>
    </w:lvl>
    <w:lvl w:ilvl="6" w:tplc="2E9688DA" w:tentative="1">
      <w:start w:val="1"/>
      <w:numFmt w:val="bullet"/>
      <w:lvlText w:val="•"/>
      <w:lvlJc w:val="left"/>
      <w:pPr>
        <w:tabs>
          <w:tab w:val="num" w:pos="5040"/>
        </w:tabs>
        <w:ind w:left="5040" w:hanging="360"/>
      </w:pPr>
      <w:rPr>
        <w:rFonts w:ascii="Arial" w:hAnsi="Arial" w:hint="default"/>
      </w:rPr>
    </w:lvl>
    <w:lvl w:ilvl="7" w:tplc="BD700882" w:tentative="1">
      <w:start w:val="1"/>
      <w:numFmt w:val="bullet"/>
      <w:lvlText w:val="•"/>
      <w:lvlJc w:val="left"/>
      <w:pPr>
        <w:tabs>
          <w:tab w:val="num" w:pos="5760"/>
        </w:tabs>
        <w:ind w:left="5760" w:hanging="360"/>
      </w:pPr>
      <w:rPr>
        <w:rFonts w:ascii="Arial" w:hAnsi="Arial" w:hint="default"/>
      </w:rPr>
    </w:lvl>
    <w:lvl w:ilvl="8" w:tplc="A60A50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C84837"/>
    <w:multiLevelType w:val="hybridMultilevel"/>
    <w:tmpl w:val="3D042ED6"/>
    <w:lvl w:ilvl="0" w:tplc="08090001">
      <w:start w:val="1"/>
      <w:numFmt w:val="bullet"/>
      <w:lvlText w:val=""/>
      <w:lvlJc w:val="left"/>
      <w:pPr>
        <w:ind w:left="928" w:hanging="360"/>
      </w:pPr>
      <w:rPr>
        <w:rFonts w:ascii="Symbol" w:hAnsi="Symbol" w:hint="default"/>
      </w:r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12D9319D"/>
    <w:multiLevelType w:val="hybridMultilevel"/>
    <w:tmpl w:val="106A2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653A72"/>
    <w:multiLevelType w:val="hybridMultilevel"/>
    <w:tmpl w:val="AD123E86"/>
    <w:lvl w:ilvl="0" w:tplc="0809000F">
      <w:start w:val="1"/>
      <w:numFmt w:val="decimal"/>
      <w:lvlText w:val="%1."/>
      <w:lvlJc w:val="left"/>
      <w:pPr>
        <w:ind w:left="698" w:hanging="360"/>
      </w:p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6" w15:restartNumberingAfterBreak="0">
    <w:nsid w:val="3CCD45D2"/>
    <w:multiLevelType w:val="hybridMultilevel"/>
    <w:tmpl w:val="8E607C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AA4E3C"/>
    <w:multiLevelType w:val="hybridMultilevel"/>
    <w:tmpl w:val="19F67084"/>
    <w:lvl w:ilvl="0" w:tplc="08090001">
      <w:start w:val="1"/>
      <w:numFmt w:val="bullet"/>
      <w:lvlText w:val=""/>
      <w:lvlJc w:val="left"/>
      <w:pPr>
        <w:ind w:left="928" w:hanging="360"/>
      </w:pPr>
      <w:rPr>
        <w:rFonts w:ascii="Symbol" w:hAnsi="Symbol" w:hint="default"/>
      </w:rPr>
    </w:lvl>
    <w:lvl w:ilvl="1" w:tplc="08090001">
      <w:start w:val="1"/>
      <w:numFmt w:val="bullet"/>
      <w:lvlText w:val=""/>
      <w:lvlJc w:val="left"/>
      <w:pPr>
        <w:ind w:left="1648" w:hanging="360"/>
      </w:pPr>
      <w:rPr>
        <w:rFonts w:ascii="Symbol" w:hAnsi="Symbol" w:hint="default"/>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8" w15:restartNumberingAfterBreak="0">
    <w:nsid w:val="438E644A"/>
    <w:multiLevelType w:val="hybridMultilevel"/>
    <w:tmpl w:val="63401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2721C64"/>
    <w:multiLevelType w:val="hybridMultilevel"/>
    <w:tmpl w:val="2B360540"/>
    <w:lvl w:ilvl="0" w:tplc="720E0B0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9"/>
  </w:num>
  <w:num w:numId="2">
    <w:abstractNumId w:val="11"/>
  </w:num>
  <w:num w:numId="3">
    <w:abstractNumId w:val="12"/>
  </w:num>
  <w:num w:numId="4">
    <w:abstractNumId w:val="4"/>
  </w:num>
  <w:num w:numId="5">
    <w:abstractNumId w:val="5"/>
  </w:num>
  <w:num w:numId="6">
    <w:abstractNumId w:val="0"/>
  </w:num>
  <w:num w:numId="7">
    <w:abstractNumId w:val="6"/>
  </w:num>
  <w:num w:numId="8">
    <w:abstractNumId w:val="3"/>
  </w:num>
  <w:num w:numId="9">
    <w:abstractNumId w:val="10"/>
  </w:num>
  <w:num w:numId="10">
    <w:abstractNumId w:val="8"/>
  </w:num>
  <w:num w:numId="11">
    <w:abstractNumId w:val="2"/>
  </w:num>
  <w:num w:numId="12">
    <w:abstractNumId w:val="1"/>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294"/>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E7FA0"/>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07B"/>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065"/>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019"/>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397"/>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B0C"/>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7B5"/>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5F97"/>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3E67"/>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C7E"/>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24A"/>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26E"/>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6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B36"/>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B39"/>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283"/>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C87"/>
    <w:rsid w:val="00AD5D03"/>
    <w:rsid w:val="00AD5D16"/>
    <w:rsid w:val="00AD5D82"/>
    <w:rsid w:val="00AD5E9F"/>
    <w:rsid w:val="00AD6164"/>
    <w:rsid w:val="00AD62D7"/>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27E30"/>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06"/>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522"/>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6F64"/>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1FF9"/>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C5C"/>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6FF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C54"/>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BFB"/>
    <w:rsid w:val="00F65E8D"/>
    <w:rsid w:val="00F662CB"/>
    <w:rsid w:val="00F664E9"/>
    <w:rsid w:val="00F66838"/>
    <w:rsid w:val="00F66B5E"/>
    <w:rsid w:val="00F66E6F"/>
    <w:rsid w:val="00F66E70"/>
    <w:rsid w:val="00F66F48"/>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9240465">
      <w:bodyDiv w:val="1"/>
      <w:marLeft w:val="0"/>
      <w:marRight w:val="0"/>
      <w:marTop w:val="0"/>
      <w:marBottom w:val="0"/>
      <w:divBdr>
        <w:top w:val="none" w:sz="0" w:space="0" w:color="auto"/>
        <w:left w:val="none" w:sz="0" w:space="0" w:color="auto"/>
        <w:bottom w:val="none" w:sz="0" w:space="0" w:color="auto"/>
        <w:right w:val="none" w:sz="0" w:space="0" w:color="auto"/>
      </w:divBdr>
    </w:div>
    <w:div w:id="329799701">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015324">
      <w:bodyDiv w:val="1"/>
      <w:marLeft w:val="0"/>
      <w:marRight w:val="0"/>
      <w:marTop w:val="0"/>
      <w:marBottom w:val="0"/>
      <w:divBdr>
        <w:top w:val="none" w:sz="0" w:space="0" w:color="auto"/>
        <w:left w:val="none" w:sz="0" w:space="0" w:color="auto"/>
        <w:bottom w:val="none" w:sz="0" w:space="0" w:color="auto"/>
        <w:right w:val="none" w:sz="0" w:space="0" w:color="auto"/>
      </w:divBdr>
      <w:divsChild>
        <w:div w:id="1980230">
          <w:marLeft w:val="360"/>
          <w:marRight w:val="0"/>
          <w:marTop w:val="200"/>
          <w:marBottom w:val="0"/>
          <w:divBdr>
            <w:top w:val="none" w:sz="0" w:space="0" w:color="auto"/>
            <w:left w:val="none" w:sz="0" w:space="0" w:color="auto"/>
            <w:bottom w:val="none" w:sz="0" w:space="0" w:color="auto"/>
            <w:right w:val="none" w:sz="0" w:space="0" w:color="auto"/>
          </w:divBdr>
        </w:div>
        <w:div w:id="881093486">
          <w:marLeft w:val="360"/>
          <w:marRight w:val="0"/>
          <w:marTop w:val="200"/>
          <w:marBottom w:val="0"/>
          <w:divBdr>
            <w:top w:val="none" w:sz="0" w:space="0" w:color="auto"/>
            <w:left w:val="none" w:sz="0" w:space="0" w:color="auto"/>
            <w:bottom w:val="none" w:sz="0" w:space="0" w:color="auto"/>
            <w:right w:val="none" w:sz="0" w:space="0" w:color="auto"/>
          </w:divBdr>
        </w:div>
        <w:div w:id="1507748841">
          <w:marLeft w:val="360"/>
          <w:marRight w:val="0"/>
          <w:marTop w:val="200"/>
          <w:marBottom w:val="0"/>
          <w:divBdr>
            <w:top w:val="none" w:sz="0" w:space="0" w:color="auto"/>
            <w:left w:val="none" w:sz="0" w:space="0" w:color="auto"/>
            <w:bottom w:val="none" w:sz="0" w:space="0" w:color="auto"/>
            <w:right w:val="none" w:sz="0" w:space="0" w:color="auto"/>
          </w:divBdr>
        </w:div>
        <w:div w:id="725908656">
          <w:marLeft w:val="360"/>
          <w:marRight w:val="0"/>
          <w:marTop w:val="20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8529966">
      <w:bodyDiv w:val="1"/>
      <w:marLeft w:val="0"/>
      <w:marRight w:val="0"/>
      <w:marTop w:val="0"/>
      <w:marBottom w:val="0"/>
      <w:divBdr>
        <w:top w:val="none" w:sz="0" w:space="0" w:color="auto"/>
        <w:left w:val="none" w:sz="0" w:space="0" w:color="auto"/>
        <w:bottom w:val="none" w:sz="0" w:space="0" w:color="auto"/>
        <w:right w:val="none" w:sz="0" w:space="0" w:color="auto"/>
      </w:divBdr>
      <w:divsChild>
        <w:div w:id="2133162174">
          <w:marLeft w:val="446"/>
          <w:marRight w:val="0"/>
          <w:marTop w:val="0"/>
          <w:marBottom w:val="0"/>
          <w:divBdr>
            <w:top w:val="none" w:sz="0" w:space="0" w:color="auto"/>
            <w:left w:val="none" w:sz="0" w:space="0" w:color="auto"/>
            <w:bottom w:val="none" w:sz="0" w:space="0" w:color="auto"/>
            <w:right w:val="none" w:sz="0" w:space="0" w:color="auto"/>
          </w:divBdr>
        </w:div>
        <w:div w:id="908538416">
          <w:marLeft w:val="1267"/>
          <w:marRight w:val="0"/>
          <w:marTop w:val="0"/>
          <w:marBottom w:val="0"/>
          <w:divBdr>
            <w:top w:val="none" w:sz="0" w:space="0" w:color="auto"/>
            <w:left w:val="none" w:sz="0" w:space="0" w:color="auto"/>
            <w:bottom w:val="none" w:sz="0" w:space="0" w:color="auto"/>
            <w:right w:val="none" w:sz="0" w:space="0" w:color="auto"/>
          </w:divBdr>
        </w:div>
        <w:div w:id="1930498669">
          <w:marLeft w:val="1267"/>
          <w:marRight w:val="0"/>
          <w:marTop w:val="0"/>
          <w:marBottom w:val="0"/>
          <w:divBdr>
            <w:top w:val="none" w:sz="0" w:space="0" w:color="auto"/>
            <w:left w:val="none" w:sz="0" w:space="0" w:color="auto"/>
            <w:bottom w:val="none" w:sz="0" w:space="0" w:color="auto"/>
            <w:right w:val="none" w:sz="0" w:space="0" w:color="auto"/>
          </w:divBdr>
        </w:div>
        <w:div w:id="1906060132">
          <w:marLeft w:val="446"/>
          <w:marRight w:val="0"/>
          <w:marTop w:val="0"/>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8211360">
      <w:bodyDiv w:val="1"/>
      <w:marLeft w:val="0"/>
      <w:marRight w:val="0"/>
      <w:marTop w:val="0"/>
      <w:marBottom w:val="0"/>
      <w:divBdr>
        <w:top w:val="none" w:sz="0" w:space="0" w:color="auto"/>
        <w:left w:val="none" w:sz="0" w:space="0" w:color="auto"/>
        <w:bottom w:val="none" w:sz="0" w:space="0" w:color="auto"/>
        <w:right w:val="none" w:sz="0" w:space="0" w:color="auto"/>
      </w:divBdr>
      <w:divsChild>
        <w:div w:id="2036691337">
          <w:marLeft w:val="360"/>
          <w:marRight w:val="0"/>
          <w:marTop w:val="200"/>
          <w:marBottom w:val="0"/>
          <w:divBdr>
            <w:top w:val="none" w:sz="0" w:space="0" w:color="auto"/>
            <w:left w:val="none" w:sz="0" w:space="0" w:color="auto"/>
            <w:bottom w:val="none" w:sz="0" w:space="0" w:color="auto"/>
            <w:right w:val="none" w:sz="0" w:space="0" w:color="auto"/>
          </w:divBdr>
        </w:div>
      </w:divsChild>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63715912">
      <w:bodyDiv w:val="1"/>
      <w:marLeft w:val="0"/>
      <w:marRight w:val="0"/>
      <w:marTop w:val="0"/>
      <w:marBottom w:val="0"/>
      <w:divBdr>
        <w:top w:val="none" w:sz="0" w:space="0" w:color="auto"/>
        <w:left w:val="none" w:sz="0" w:space="0" w:color="auto"/>
        <w:bottom w:val="none" w:sz="0" w:space="0" w:color="auto"/>
        <w:right w:val="none" w:sz="0" w:space="0" w:color="auto"/>
      </w:divBdr>
      <w:divsChild>
        <w:div w:id="1600723523">
          <w:marLeft w:val="1800"/>
          <w:marRight w:val="0"/>
          <w:marTop w:val="100"/>
          <w:marBottom w:val="0"/>
          <w:divBdr>
            <w:top w:val="none" w:sz="0" w:space="0" w:color="auto"/>
            <w:left w:val="none" w:sz="0" w:space="0" w:color="auto"/>
            <w:bottom w:val="none" w:sz="0" w:space="0" w:color="auto"/>
            <w:right w:val="none" w:sz="0" w:space="0" w:color="auto"/>
          </w:divBdr>
        </w:div>
        <w:div w:id="332343873">
          <w:marLeft w:val="1800"/>
          <w:marRight w:val="0"/>
          <w:marTop w:val="100"/>
          <w:marBottom w:val="0"/>
          <w:divBdr>
            <w:top w:val="none" w:sz="0" w:space="0" w:color="auto"/>
            <w:left w:val="none" w:sz="0" w:space="0" w:color="auto"/>
            <w:bottom w:val="none" w:sz="0" w:space="0" w:color="auto"/>
            <w:right w:val="none" w:sz="0" w:space="0" w:color="auto"/>
          </w:divBdr>
        </w:div>
        <w:div w:id="175930041">
          <w:marLeft w:val="1800"/>
          <w:marRight w:val="0"/>
          <w:marTop w:val="100"/>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8074311">
      <w:bodyDiv w:val="1"/>
      <w:marLeft w:val="0"/>
      <w:marRight w:val="0"/>
      <w:marTop w:val="0"/>
      <w:marBottom w:val="0"/>
      <w:divBdr>
        <w:top w:val="none" w:sz="0" w:space="0" w:color="auto"/>
        <w:left w:val="none" w:sz="0" w:space="0" w:color="auto"/>
        <w:bottom w:val="none" w:sz="0" w:space="0" w:color="auto"/>
        <w:right w:val="none" w:sz="0" w:space="0" w:color="auto"/>
      </w:divBdr>
      <w:divsChild>
        <w:div w:id="843085794">
          <w:marLeft w:val="446"/>
          <w:marRight w:val="0"/>
          <w:marTop w:val="0"/>
          <w:marBottom w:val="0"/>
          <w:divBdr>
            <w:top w:val="none" w:sz="0" w:space="0" w:color="auto"/>
            <w:left w:val="none" w:sz="0" w:space="0" w:color="auto"/>
            <w:bottom w:val="none" w:sz="0" w:space="0" w:color="auto"/>
            <w:right w:val="none" w:sz="0" w:space="0" w:color="auto"/>
          </w:divBdr>
        </w:div>
        <w:div w:id="1125275138">
          <w:marLeft w:val="1267"/>
          <w:marRight w:val="0"/>
          <w:marTop w:val="0"/>
          <w:marBottom w:val="0"/>
          <w:divBdr>
            <w:top w:val="none" w:sz="0" w:space="0" w:color="auto"/>
            <w:left w:val="none" w:sz="0" w:space="0" w:color="auto"/>
            <w:bottom w:val="none" w:sz="0" w:space="0" w:color="auto"/>
            <w:right w:val="none" w:sz="0" w:space="0" w:color="auto"/>
          </w:divBdr>
        </w:div>
        <w:div w:id="366832942">
          <w:marLeft w:val="1267"/>
          <w:marRight w:val="0"/>
          <w:marTop w:val="0"/>
          <w:marBottom w:val="0"/>
          <w:divBdr>
            <w:top w:val="none" w:sz="0" w:space="0" w:color="auto"/>
            <w:left w:val="none" w:sz="0" w:space="0" w:color="auto"/>
            <w:bottom w:val="none" w:sz="0" w:space="0" w:color="auto"/>
            <w:right w:val="none" w:sz="0" w:space="0" w:color="auto"/>
          </w:divBdr>
        </w:div>
        <w:div w:id="1448624061">
          <w:marLeft w:val="1267"/>
          <w:marRight w:val="0"/>
          <w:marTop w:val="0"/>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52068860">
      <w:bodyDiv w:val="1"/>
      <w:marLeft w:val="0"/>
      <w:marRight w:val="0"/>
      <w:marTop w:val="0"/>
      <w:marBottom w:val="0"/>
      <w:divBdr>
        <w:top w:val="none" w:sz="0" w:space="0" w:color="auto"/>
        <w:left w:val="none" w:sz="0" w:space="0" w:color="auto"/>
        <w:bottom w:val="none" w:sz="0" w:space="0" w:color="auto"/>
        <w:right w:val="none" w:sz="0" w:space="0" w:color="auto"/>
      </w:divBdr>
      <w:divsChild>
        <w:div w:id="836114699">
          <w:marLeft w:val="360"/>
          <w:marRight w:val="0"/>
          <w:marTop w:val="200"/>
          <w:marBottom w:val="0"/>
          <w:divBdr>
            <w:top w:val="none" w:sz="0" w:space="0" w:color="auto"/>
            <w:left w:val="none" w:sz="0" w:space="0" w:color="auto"/>
            <w:bottom w:val="none" w:sz="0" w:space="0" w:color="auto"/>
            <w:right w:val="none" w:sz="0" w:space="0" w:color="auto"/>
          </w:divBdr>
        </w:div>
        <w:div w:id="616716392">
          <w:marLeft w:val="720"/>
          <w:marRight w:val="0"/>
          <w:marTop w:val="200"/>
          <w:marBottom w:val="0"/>
          <w:divBdr>
            <w:top w:val="none" w:sz="0" w:space="0" w:color="auto"/>
            <w:left w:val="none" w:sz="0" w:space="0" w:color="auto"/>
            <w:bottom w:val="none" w:sz="0" w:space="0" w:color="auto"/>
            <w:right w:val="none" w:sz="0" w:space="0" w:color="auto"/>
          </w:divBdr>
        </w:div>
        <w:div w:id="1389839291">
          <w:marLeft w:val="720"/>
          <w:marRight w:val="0"/>
          <w:marTop w:val="2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87611582">
      <w:bodyDiv w:val="1"/>
      <w:marLeft w:val="0"/>
      <w:marRight w:val="0"/>
      <w:marTop w:val="0"/>
      <w:marBottom w:val="0"/>
      <w:divBdr>
        <w:top w:val="none" w:sz="0" w:space="0" w:color="auto"/>
        <w:left w:val="none" w:sz="0" w:space="0" w:color="auto"/>
        <w:bottom w:val="none" w:sz="0" w:space="0" w:color="auto"/>
        <w:right w:val="none" w:sz="0" w:space="0" w:color="auto"/>
      </w:divBdr>
      <w:divsChild>
        <w:div w:id="647396644">
          <w:marLeft w:val="360"/>
          <w:marRight w:val="0"/>
          <w:marTop w:val="20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2188732">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3D78602E-691F-4FD6-A2BC-E601DBE54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1145</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2020-04-09T15:54:00Z</dcterms:created>
  <dcterms:modified xsi:type="dcterms:W3CDTF">2020-04-09T15:54:00Z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